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B6" w:rsidRDefault="009347B6">
      <w:pPr>
        <w:rPr>
          <w:lang w:val="de-CH"/>
        </w:rPr>
      </w:pPr>
    </w:p>
    <w:tbl>
      <w:tblPr>
        <w:tblStyle w:val="TableGrid"/>
        <w:tblW w:w="0" w:type="auto"/>
        <w:tblLook w:val="04A0" w:firstRow="1" w:lastRow="0" w:firstColumn="1" w:lastColumn="0" w:noHBand="0" w:noVBand="1"/>
      </w:tblPr>
      <w:tblGrid>
        <w:gridCol w:w="2972"/>
        <w:gridCol w:w="6804"/>
        <w:gridCol w:w="4154"/>
      </w:tblGrid>
      <w:tr w:rsidR="00F81FF5" w:rsidTr="00F81FF5">
        <w:tc>
          <w:tcPr>
            <w:tcW w:w="2972" w:type="dxa"/>
            <w:shd w:val="clear" w:color="auto" w:fill="D9D9D9" w:themeFill="background1" w:themeFillShade="D9"/>
          </w:tcPr>
          <w:p w:rsidR="00F81FF5" w:rsidRPr="009347B6" w:rsidRDefault="00F81FF5" w:rsidP="001A23D6">
            <w:pPr>
              <w:rPr>
                <w:b/>
                <w:lang w:val="de-CH"/>
              </w:rPr>
            </w:pPr>
            <w:r w:rsidRPr="009347B6">
              <w:rPr>
                <w:b/>
                <w:lang w:val="de-CH"/>
              </w:rPr>
              <w:t>Name</w:t>
            </w:r>
          </w:p>
        </w:tc>
        <w:tc>
          <w:tcPr>
            <w:tcW w:w="6804" w:type="dxa"/>
            <w:shd w:val="clear" w:color="auto" w:fill="D9D9D9" w:themeFill="background1" w:themeFillShade="D9"/>
          </w:tcPr>
          <w:p w:rsidR="00F81FF5" w:rsidRPr="009347B6" w:rsidRDefault="00F81FF5" w:rsidP="001A23D6">
            <w:pPr>
              <w:rPr>
                <w:b/>
                <w:lang w:val="de-CH"/>
              </w:rPr>
            </w:pPr>
            <w:r>
              <w:rPr>
                <w:b/>
                <w:lang w:val="de-CH"/>
              </w:rPr>
              <w:t>Abrechnung Mobilitätsleistungen (Reisekettendienstleistungen)</w:t>
            </w:r>
            <w:r w:rsidR="00827D34">
              <w:rPr>
                <w:b/>
                <w:lang w:val="de-CH"/>
              </w:rPr>
              <w:t xml:space="preserve"> (1)</w:t>
            </w:r>
          </w:p>
        </w:tc>
        <w:tc>
          <w:tcPr>
            <w:tcW w:w="4154" w:type="dxa"/>
            <w:shd w:val="clear" w:color="auto" w:fill="D9D9D9" w:themeFill="background1" w:themeFillShade="D9"/>
          </w:tcPr>
          <w:p w:rsidR="00F81FF5" w:rsidRPr="009347B6" w:rsidRDefault="00F81FF5" w:rsidP="001A23D6">
            <w:pPr>
              <w:rPr>
                <w:b/>
                <w:lang w:val="de-CH"/>
              </w:rPr>
            </w:pPr>
            <w:r>
              <w:rPr>
                <w:b/>
                <w:lang w:val="de-CH"/>
              </w:rPr>
              <w:t xml:space="preserve">Prio: 15 / 15'000 </w:t>
            </w:r>
          </w:p>
        </w:tc>
      </w:tr>
      <w:tr w:rsidR="009347B6" w:rsidRPr="0053304D" w:rsidTr="001A23D6">
        <w:tc>
          <w:tcPr>
            <w:tcW w:w="2972" w:type="dxa"/>
          </w:tcPr>
          <w:p w:rsidR="009347B6" w:rsidRPr="009347B6" w:rsidRDefault="00B1488E" w:rsidP="001A23D6">
            <w:pPr>
              <w:rPr>
                <w:lang w:val="en-US"/>
              </w:rPr>
            </w:pPr>
            <w:r>
              <w:rPr>
                <w:lang w:val="en-US"/>
              </w:rPr>
              <w:t>Kurzbeschreibung</w:t>
            </w:r>
          </w:p>
        </w:tc>
        <w:tc>
          <w:tcPr>
            <w:tcW w:w="10958" w:type="dxa"/>
            <w:gridSpan w:val="2"/>
          </w:tcPr>
          <w:p w:rsidR="00D42BEF" w:rsidRDefault="00D42BEF" w:rsidP="001A23D6">
            <w:pPr>
              <w:rPr>
                <w:lang w:val="de-CH"/>
              </w:rPr>
            </w:pPr>
            <w:r>
              <w:rPr>
                <w:lang w:val="de-CH"/>
              </w:rPr>
              <w:t>Mobilitätsdienstleister, die Leistungen in Reiseketten erbringen, für die eine einzige Fahrberechtigung ausreicht,</w:t>
            </w:r>
          </w:p>
          <w:p w:rsidR="009347B6" w:rsidRDefault="00D42BEF" w:rsidP="00D42BEF">
            <w:pPr>
              <w:pStyle w:val="ListParagraph"/>
              <w:numPr>
                <w:ilvl w:val="0"/>
                <w:numId w:val="1"/>
              </w:numPr>
              <w:rPr>
                <w:lang w:val="de-CH"/>
              </w:rPr>
            </w:pPr>
            <w:r w:rsidRPr="00D42BEF">
              <w:rPr>
                <w:lang w:val="de-CH"/>
              </w:rPr>
              <w:t>Sind</w:t>
            </w:r>
            <w:r>
              <w:rPr>
                <w:lang w:val="de-CH"/>
              </w:rPr>
              <w:t xml:space="preserve"> unsicher, ob sie den korrekten Betrag erhalten</w:t>
            </w:r>
          </w:p>
          <w:p w:rsidR="00D42BEF" w:rsidRPr="00B1488E" w:rsidRDefault="00D42BEF" w:rsidP="001A23D6">
            <w:pPr>
              <w:pStyle w:val="ListParagraph"/>
              <w:numPr>
                <w:ilvl w:val="0"/>
                <w:numId w:val="1"/>
              </w:numPr>
              <w:rPr>
                <w:lang w:val="de-CH"/>
              </w:rPr>
            </w:pPr>
            <w:r>
              <w:rPr>
                <w:lang w:val="de-CH"/>
              </w:rPr>
              <w:t>Haben einen langen Zeitversatz, bis sie das Geld erhalten</w:t>
            </w:r>
          </w:p>
        </w:tc>
      </w:tr>
      <w:tr w:rsidR="00B1488E" w:rsidTr="001A23D6">
        <w:tc>
          <w:tcPr>
            <w:tcW w:w="2972" w:type="dxa"/>
          </w:tcPr>
          <w:p w:rsidR="00B1488E" w:rsidRPr="009347B6" w:rsidRDefault="00B1488E" w:rsidP="00B1488E">
            <w:pPr>
              <w:rPr>
                <w:lang w:val="en-US"/>
              </w:rPr>
            </w:pPr>
            <w:r w:rsidRPr="009347B6">
              <w:rPr>
                <w:lang w:val="en-US"/>
              </w:rPr>
              <w:t>Bedarf</w:t>
            </w:r>
          </w:p>
          <w:p w:rsidR="00B1488E" w:rsidRPr="009347B6" w:rsidRDefault="00B1488E" w:rsidP="00B1488E">
            <w:pPr>
              <w:rPr>
                <w:lang w:val="en-US"/>
              </w:rPr>
            </w:pPr>
            <w:r w:rsidRPr="009347B6">
              <w:rPr>
                <w:lang w:val="en-US"/>
              </w:rPr>
              <w:t>Need</w:t>
            </w:r>
          </w:p>
        </w:tc>
        <w:tc>
          <w:tcPr>
            <w:tcW w:w="10958" w:type="dxa"/>
            <w:gridSpan w:val="2"/>
          </w:tcPr>
          <w:p w:rsidR="00B1488E" w:rsidRDefault="00B1488E" w:rsidP="00B1488E">
            <w:pPr>
              <w:rPr>
                <w:lang w:val="de-CH"/>
              </w:rPr>
            </w:pPr>
            <w:r>
              <w:rPr>
                <w:lang w:val="de-CH"/>
              </w:rPr>
              <w:t>Heute tritt das Problem als «Sekundärzuscheidung» im öffentlichen Verkehr auf, in dem in der Schweiz eine Vielzahl von «konzessionierten Transportunternehmen» tätig sind, die durch das Personenbeförderungsgesetz verpflichtet sind, sich gegenseitig Fahrausweise zu verkaufen und anzuerkennen. Hier tritt das Problem in einem geschlossenen System auf. Die Einnahmenverteilung ist in der NOVA-Plattform und angeschlossenen Systemen implementiert.</w:t>
            </w:r>
          </w:p>
          <w:p w:rsidR="00B1488E" w:rsidRDefault="00B1488E" w:rsidP="00B1488E">
            <w:pPr>
              <w:rPr>
                <w:lang w:val="de-CH"/>
              </w:rPr>
            </w:pPr>
          </w:p>
          <w:p w:rsidR="00B1488E" w:rsidRDefault="00B1488E" w:rsidP="00B1488E">
            <w:pPr>
              <w:rPr>
                <w:lang w:val="de-CH"/>
              </w:rPr>
            </w:pPr>
            <w:r>
              <w:rPr>
                <w:lang w:val="de-CH"/>
              </w:rPr>
              <w:t>In anderen Ländern haben Reisende das Problem auf eine andere Art: die verschiedenen Trasnportunternehmen haben unterschiedliche Ticketsysteme, die keine oder nur eingeschränkte Nutzung auf Transportmitteln Dritter erlauben.</w:t>
            </w:r>
          </w:p>
          <w:p w:rsidR="00B1488E" w:rsidRDefault="00B1488E" w:rsidP="00B1488E">
            <w:pPr>
              <w:rPr>
                <w:lang w:val="de-CH"/>
              </w:rPr>
            </w:pPr>
          </w:p>
          <w:p w:rsidR="00B1488E" w:rsidRDefault="00B1488E" w:rsidP="00B1488E">
            <w:pPr>
              <w:rPr>
                <w:lang w:val="de-CH"/>
              </w:rPr>
            </w:pPr>
            <w:r>
              <w:rPr>
                <w:lang w:val="de-CH"/>
              </w:rPr>
              <w:t>Künftig können durch «Mobility as a Service» Provider weitere Stakeholder wie Mietwagen, Taxis, Car- und Bikesharing betroffen sein. In diesem Fall wird es ein (halb)offenes System.</w:t>
            </w:r>
          </w:p>
        </w:tc>
      </w:tr>
      <w:tr w:rsidR="009347B6" w:rsidRPr="0053304D" w:rsidTr="001A23D6">
        <w:tc>
          <w:tcPr>
            <w:tcW w:w="2972" w:type="dxa"/>
          </w:tcPr>
          <w:p w:rsidR="009347B6" w:rsidRPr="009347B6" w:rsidRDefault="009347B6" w:rsidP="001A23D6">
            <w:pPr>
              <w:rPr>
                <w:lang w:val="en-US"/>
              </w:rPr>
            </w:pPr>
            <w:r w:rsidRPr="009347B6">
              <w:rPr>
                <w:lang w:val="en-US"/>
              </w:rPr>
              <w:t>Vorgehen / Technik</w:t>
            </w:r>
          </w:p>
          <w:p w:rsidR="009347B6" w:rsidRPr="009347B6" w:rsidRDefault="009347B6" w:rsidP="001A23D6">
            <w:pPr>
              <w:rPr>
                <w:lang w:val="en-US"/>
              </w:rPr>
            </w:pPr>
            <w:r w:rsidRPr="009347B6">
              <w:rPr>
                <w:lang w:val="en-US"/>
              </w:rPr>
              <w:t>Approach</w:t>
            </w:r>
          </w:p>
        </w:tc>
        <w:tc>
          <w:tcPr>
            <w:tcW w:w="10958" w:type="dxa"/>
            <w:gridSpan w:val="2"/>
          </w:tcPr>
          <w:p w:rsidR="009347B6" w:rsidRDefault="00E900F1" w:rsidP="001A23D6">
            <w:pPr>
              <w:rPr>
                <w:lang w:val="de-CH"/>
              </w:rPr>
            </w:pPr>
            <w:r>
              <w:rPr>
                <w:lang w:val="de-CH"/>
              </w:rPr>
              <w:t>Mit statistischen Erfassungen kann bereits eine Fahrgastzählung, zum Teil nahe Echtzeit, erfolgen und verwendet werden. Mit personifizierten Apps, insbesondere mit automatischer Reiseerfassung, können präzise Nutzungsdaten erfasst werden.</w:t>
            </w:r>
          </w:p>
          <w:p w:rsidR="00E900F1" w:rsidRDefault="00E900F1" w:rsidP="001A23D6">
            <w:pPr>
              <w:rPr>
                <w:lang w:val="de-CH"/>
              </w:rPr>
            </w:pPr>
          </w:p>
          <w:p w:rsidR="00E900F1" w:rsidRDefault="00E900F1" w:rsidP="001A23D6">
            <w:pPr>
              <w:rPr>
                <w:lang w:val="de-CH"/>
              </w:rPr>
            </w:pPr>
            <w:r>
              <w:rPr>
                <w:lang w:val="de-CH"/>
              </w:rPr>
              <w:t xml:space="preserve">Die Einnahmeverteilung und Abrechnung kann mit diesem Input in einer Blockchain realisiert werden. Damit können die Einnahmen schnell (z.B. auf Tagesbasis) mindestens für einen Teil der Erlöse, nämlich die Einzelfahrausweise verteilt werden. </w:t>
            </w:r>
          </w:p>
          <w:p w:rsidR="00E900F1" w:rsidRDefault="00E900F1" w:rsidP="001A23D6">
            <w:pPr>
              <w:rPr>
                <w:lang w:val="de-CH"/>
              </w:rPr>
            </w:pPr>
          </w:p>
          <w:p w:rsidR="00E900F1" w:rsidRPr="009347B6" w:rsidRDefault="00E900F1" w:rsidP="001A23D6">
            <w:pPr>
              <w:rPr>
                <w:lang w:val="de-CH"/>
              </w:rPr>
            </w:pPr>
            <w:r>
              <w:rPr>
                <w:lang w:val="de-CH"/>
              </w:rPr>
              <w:t>Damit wird eine vertrauenswürdige Abrechnung möglich</w:t>
            </w:r>
          </w:p>
        </w:tc>
      </w:tr>
      <w:tr w:rsidR="009347B6" w:rsidRPr="0053304D" w:rsidTr="001A23D6">
        <w:tc>
          <w:tcPr>
            <w:tcW w:w="2972" w:type="dxa"/>
          </w:tcPr>
          <w:p w:rsidR="009347B6" w:rsidRPr="00E900F1" w:rsidRDefault="009347B6" w:rsidP="001A23D6">
            <w:pPr>
              <w:rPr>
                <w:lang w:val="de-CH"/>
              </w:rPr>
            </w:pPr>
            <w:r w:rsidRPr="00E900F1">
              <w:rPr>
                <w:lang w:val="de-CH"/>
              </w:rPr>
              <w:t>Nutzen</w:t>
            </w:r>
          </w:p>
          <w:p w:rsidR="009347B6" w:rsidRPr="00E900F1" w:rsidRDefault="009347B6" w:rsidP="001A23D6">
            <w:pPr>
              <w:rPr>
                <w:lang w:val="de-CH"/>
              </w:rPr>
            </w:pPr>
            <w:r w:rsidRPr="00E900F1">
              <w:rPr>
                <w:lang w:val="de-CH"/>
              </w:rPr>
              <w:t>Benefit</w:t>
            </w:r>
          </w:p>
        </w:tc>
        <w:tc>
          <w:tcPr>
            <w:tcW w:w="10958" w:type="dxa"/>
            <w:gridSpan w:val="2"/>
          </w:tcPr>
          <w:p w:rsidR="009347B6" w:rsidRDefault="00E900F1" w:rsidP="001A23D6">
            <w:pPr>
              <w:rPr>
                <w:lang w:val="de-CH"/>
              </w:rPr>
            </w:pPr>
            <w:r>
              <w:rPr>
                <w:lang w:val="de-CH"/>
              </w:rPr>
              <w:t>In CH:</w:t>
            </w:r>
          </w:p>
          <w:p w:rsidR="00E900F1" w:rsidRDefault="00E900F1" w:rsidP="001A23D6">
            <w:pPr>
              <w:rPr>
                <w:lang w:val="de-CH"/>
              </w:rPr>
            </w:pPr>
            <w:r>
              <w:rPr>
                <w:lang w:val="de-CH"/>
              </w:rPr>
              <w:lastRenderedPageBreak/>
              <w:t>Die Transportunternehmen erhalten schnell den korrekten Betrag.</w:t>
            </w:r>
            <w:r w:rsidR="00F6033A">
              <w:rPr>
                <w:lang w:val="de-CH"/>
              </w:rPr>
              <w:t xml:space="preserve"> Die Lösung ist grundsätzlich auf weitere Leistungserbringer der Mobilität und weiterer Services erweiterbar.</w:t>
            </w:r>
          </w:p>
          <w:p w:rsidR="00E900F1" w:rsidRDefault="00E900F1" w:rsidP="001A23D6">
            <w:pPr>
              <w:rPr>
                <w:lang w:val="de-CH"/>
              </w:rPr>
            </w:pPr>
          </w:p>
          <w:p w:rsidR="00E900F1" w:rsidRPr="009347B6" w:rsidRDefault="00E900F1" w:rsidP="001A23D6">
            <w:pPr>
              <w:rPr>
                <w:lang w:val="de-CH"/>
              </w:rPr>
            </w:pPr>
            <w:r>
              <w:rPr>
                <w:lang w:val="de-CH"/>
              </w:rPr>
              <w:t xml:space="preserve">Im Ausland: Reisende können durchgängigen Reise mit mehreren Verkehrsunternehmen machen, wobei diese (wie in CH) </w:t>
            </w:r>
            <w:r w:rsidR="00F6033A">
              <w:rPr>
                <w:lang w:val="de-CH"/>
              </w:rPr>
              <w:t xml:space="preserve">ihre korrekten Einnahmen zugeteilt erhalten. </w:t>
            </w:r>
          </w:p>
        </w:tc>
      </w:tr>
      <w:tr w:rsidR="009347B6" w:rsidRPr="0053304D" w:rsidTr="001A23D6">
        <w:tc>
          <w:tcPr>
            <w:tcW w:w="2972" w:type="dxa"/>
          </w:tcPr>
          <w:p w:rsidR="009347B6" w:rsidRPr="009347B6" w:rsidRDefault="009347B6" w:rsidP="001A23D6">
            <w:pPr>
              <w:rPr>
                <w:lang w:val="en-US"/>
              </w:rPr>
            </w:pPr>
            <w:r w:rsidRPr="009347B6">
              <w:rPr>
                <w:lang w:val="en-US"/>
              </w:rPr>
              <w:lastRenderedPageBreak/>
              <w:t>Verdienstmodell</w:t>
            </w:r>
          </w:p>
          <w:p w:rsidR="009347B6" w:rsidRPr="009347B6" w:rsidRDefault="009347B6" w:rsidP="001A23D6">
            <w:pPr>
              <w:rPr>
                <w:lang w:val="en-US"/>
              </w:rPr>
            </w:pPr>
            <w:r w:rsidRPr="009347B6">
              <w:rPr>
                <w:lang w:val="en-US"/>
              </w:rPr>
              <w:t>Value Capture</w:t>
            </w:r>
          </w:p>
        </w:tc>
        <w:tc>
          <w:tcPr>
            <w:tcW w:w="10958" w:type="dxa"/>
            <w:gridSpan w:val="2"/>
          </w:tcPr>
          <w:p w:rsidR="009347B6" w:rsidRDefault="00F6033A" w:rsidP="001A23D6">
            <w:pPr>
              <w:rPr>
                <w:lang w:val="de-CH"/>
              </w:rPr>
            </w:pPr>
            <w:r>
              <w:rPr>
                <w:lang w:val="de-CH"/>
              </w:rPr>
              <w:t xml:space="preserve">Die heutige Einnahmenverteilung ist ein sehr aufwändiger Prozess und hat gegenüber einer weitgehend und missbrauchsfreien Lösung ein Einsparungspotential. Die Differenz in den Betriebskosten müsste die Investition tragen. </w:t>
            </w:r>
          </w:p>
          <w:p w:rsidR="00F6033A" w:rsidRDefault="00F6033A" w:rsidP="001A23D6">
            <w:pPr>
              <w:rPr>
                <w:lang w:val="de-CH"/>
              </w:rPr>
            </w:pPr>
          </w:p>
          <w:p w:rsidR="00F6033A" w:rsidRPr="009347B6" w:rsidRDefault="00F6033A" w:rsidP="001A23D6">
            <w:pPr>
              <w:rPr>
                <w:lang w:val="de-CH"/>
              </w:rPr>
            </w:pPr>
            <w:r>
              <w:rPr>
                <w:lang w:val="de-CH"/>
              </w:rPr>
              <w:t xml:space="preserve">Im Ausland könnten Kunden eine etwas </w:t>
            </w:r>
            <w:proofErr w:type="gramStart"/>
            <w:r>
              <w:rPr>
                <w:lang w:val="de-CH"/>
              </w:rPr>
              <w:t>höhere</w:t>
            </w:r>
            <w:proofErr w:type="gramEnd"/>
            <w:r>
              <w:rPr>
                <w:lang w:val="de-CH"/>
              </w:rPr>
              <w:t xml:space="preserve"> «Willingnes to pay» haben für die Durchgängigkeit zwischen verschiedenen Verkehrsträgern, da die aufwändige und fehleranfällige Ticketbeschaffung obsolet wird.</w:t>
            </w:r>
          </w:p>
        </w:tc>
      </w:tr>
      <w:tr w:rsidR="009347B6" w:rsidRPr="0053304D" w:rsidTr="001A23D6">
        <w:tc>
          <w:tcPr>
            <w:tcW w:w="2972" w:type="dxa"/>
          </w:tcPr>
          <w:p w:rsidR="009347B6" w:rsidRPr="00F6033A" w:rsidRDefault="009347B6" w:rsidP="001A23D6">
            <w:pPr>
              <w:rPr>
                <w:lang w:val="de-CH"/>
              </w:rPr>
            </w:pPr>
            <w:r w:rsidRPr="00F6033A">
              <w:rPr>
                <w:lang w:val="de-CH"/>
              </w:rPr>
              <w:t>Konkurrenz / Alternativen</w:t>
            </w:r>
          </w:p>
          <w:p w:rsidR="009347B6" w:rsidRPr="00F6033A" w:rsidRDefault="009347B6" w:rsidP="001A23D6">
            <w:pPr>
              <w:rPr>
                <w:lang w:val="de-CH"/>
              </w:rPr>
            </w:pPr>
            <w:r w:rsidRPr="00F6033A">
              <w:rPr>
                <w:lang w:val="de-CH"/>
              </w:rPr>
              <w:t>Competition</w:t>
            </w:r>
          </w:p>
        </w:tc>
        <w:tc>
          <w:tcPr>
            <w:tcW w:w="10958" w:type="dxa"/>
            <w:gridSpan w:val="2"/>
          </w:tcPr>
          <w:p w:rsidR="009347B6" w:rsidRPr="009347B6" w:rsidRDefault="00F6033A" w:rsidP="001A23D6">
            <w:pPr>
              <w:rPr>
                <w:lang w:val="de-CH"/>
              </w:rPr>
            </w:pPr>
            <w:r>
              <w:rPr>
                <w:lang w:val="de-CH"/>
              </w:rPr>
              <w:t xml:space="preserve">Automatische Reiseerfassungssysteme wie lezzgo oder fairtiq können die bezogenen Leistungen der Nutzer direkt auf die erbrachten Leistungen der Transportunternehmen abbilden und die Einnahmen so verteilen. Wenn es mehrere Systeme gleichzeitig gibt, könnte wieder eine nachgelagerte Blockchain sinnvoll sein. </w:t>
            </w:r>
          </w:p>
        </w:tc>
      </w:tr>
      <w:tr w:rsidR="001A23D6" w:rsidRPr="0053304D" w:rsidTr="001A23D6">
        <w:tc>
          <w:tcPr>
            <w:tcW w:w="2972" w:type="dxa"/>
          </w:tcPr>
          <w:p w:rsidR="001A23D6" w:rsidRPr="00F6033A" w:rsidRDefault="001A23D6" w:rsidP="001A23D6">
            <w:pPr>
              <w:rPr>
                <w:lang w:val="de-CH"/>
              </w:rPr>
            </w:pPr>
            <w:r>
              <w:rPr>
                <w:lang w:val="de-CH"/>
              </w:rPr>
              <w:t>Interessenten</w:t>
            </w:r>
          </w:p>
        </w:tc>
        <w:tc>
          <w:tcPr>
            <w:tcW w:w="10958" w:type="dxa"/>
            <w:gridSpan w:val="2"/>
          </w:tcPr>
          <w:p w:rsidR="001A23D6" w:rsidRDefault="001A23D6" w:rsidP="001A23D6">
            <w:pPr>
              <w:rPr>
                <w:lang w:val="de-CH"/>
              </w:rPr>
            </w:pPr>
            <w:bookmarkStart w:id="0" w:name="_GoBack"/>
            <w:bookmarkEnd w:id="0"/>
          </w:p>
        </w:tc>
      </w:tr>
    </w:tbl>
    <w:p w:rsidR="009347B6" w:rsidRDefault="009347B6">
      <w:pPr>
        <w:rPr>
          <w:lang w:val="de-CH"/>
        </w:rPr>
      </w:pPr>
    </w:p>
    <w:p w:rsidR="006778EB" w:rsidRPr="00B4611E" w:rsidRDefault="006778EB">
      <w:pPr>
        <w:rPr>
          <w:lang w:val="de-CH"/>
        </w:rPr>
      </w:pPr>
    </w:p>
    <w:sectPr w:rsidR="006778EB" w:rsidRPr="00B4611E" w:rsidSect="009347B6">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1B"/>
    <w:multiLevelType w:val="hybridMultilevel"/>
    <w:tmpl w:val="50E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B13"/>
    <w:multiLevelType w:val="hybridMultilevel"/>
    <w:tmpl w:val="068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300FA"/>
    <w:multiLevelType w:val="hybridMultilevel"/>
    <w:tmpl w:val="32B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22257"/>
    <w:multiLevelType w:val="hybridMultilevel"/>
    <w:tmpl w:val="468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4F3C"/>
    <w:multiLevelType w:val="hybridMultilevel"/>
    <w:tmpl w:val="EF6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5946"/>
    <w:multiLevelType w:val="hybridMultilevel"/>
    <w:tmpl w:val="272A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5665"/>
    <w:multiLevelType w:val="hybridMultilevel"/>
    <w:tmpl w:val="681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FBC"/>
    <w:multiLevelType w:val="hybridMultilevel"/>
    <w:tmpl w:val="AB2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B5654"/>
    <w:multiLevelType w:val="hybridMultilevel"/>
    <w:tmpl w:val="5C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52F39"/>
    <w:multiLevelType w:val="hybridMultilevel"/>
    <w:tmpl w:val="A95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9637D"/>
    <w:multiLevelType w:val="hybridMultilevel"/>
    <w:tmpl w:val="215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5748E"/>
    <w:multiLevelType w:val="hybridMultilevel"/>
    <w:tmpl w:val="6BF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1EBE"/>
    <w:multiLevelType w:val="hybridMultilevel"/>
    <w:tmpl w:val="0BE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4542D"/>
    <w:multiLevelType w:val="hybridMultilevel"/>
    <w:tmpl w:val="036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75C27"/>
    <w:multiLevelType w:val="hybridMultilevel"/>
    <w:tmpl w:val="7A8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3203D"/>
    <w:multiLevelType w:val="hybridMultilevel"/>
    <w:tmpl w:val="D1F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6B3"/>
    <w:multiLevelType w:val="hybridMultilevel"/>
    <w:tmpl w:val="21CA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32FB"/>
    <w:multiLevelType w:val="hybridMultilevel"/>
    <w:tmpl w:val="087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657AB"/>
    <w:multiLevelType w:val="hybridMultilevel"/>
    <w:tmpl w:val="E49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80B9B"/>
    <w:multiLevelType w:val="hybridMultilevel"/>
    <w:tmpl w:val="D9C4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35A3A"/>
    <w:multiLevelType w:val="hybridMultilevel"/>
    <w:tmpl w:val="5FC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51CB"/>
    <w:multiLevelType w:val="hybridMultilevel"/>
    <w:tmpl w:val="4C1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num>
  <w:num w:numId="4">
    <w:abstractNumId w:val="18"/>
  </w:num>
  <w:num w:numId="5">
    <w:abstractNumId w:val="4"/>
  </w:num>
  <w:num w:numId="6">
    <w:abstractNumId w:val="21"/>
  </w:num>
  <w:num w:numId="7">
    <w:abstractNumId w:val="13"/>
  </w:num>
  <w:num w:numId="8">
    <w:abstractNumId w:val="19"/>
  </w:num>
  <w:num w:numId="9">
    <w:abstractNumId w:val="14"/>
  </w:num>
  <w:num w:numId="10">
    <w:abstractNumId w:val="12"/>
  </w:num>
  <w:num w:numId="11">
    <w:abstractNumId w:val="9"/>
  </w:num>
  <w:num w:numId="12">
    <w:abstractNumId w:val="16"/>
  </w:num>
  <w:num w:numId="13">
    <w:abstractNumId w:val="8"/>
  </w:num>
  <w:num w:numId="14">
    <w:abstractNumId w:val="0"/>
  </w:num>
  <w:num w:numId="15">
    <w:abstractNumId w:val="3"/>
  </w:num>
  <w:num w:numId="16">
    <w:abstractNumId w:val="7"/>
  </w:num>
  <w:num w:numId="17">
    <w:abstractNumId w:val="2"/>
  </w:num>
  <w:num w:numId="18">
    <w:abstractNumId w:val="10"/>
  </w:num>
  <w:num w:numId="19">
    <w:abstractNumId w:val="17"/>
  </w:num>
  <w:num w:numId="20">
    <w:abstractNumId w:val="1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14"/>
    <w:rsid w:val="000807E9"/>
    <w:rsid w:val="000D7193"/>
    <w:rsid w:val="001A23D6"/>
    <w:rsid w:val="001B0B08"/>
    <w:rsid w:val="002133E7"/>
    <w:rsid w:val="00217B68"/>
    <w:rsid w:val="00390B60"/>
    <w:rsid w:val="003E5D7F"/>
    <w:rsid w:val="00456C14"/>
    <w:rsid w:val="00464618"/>
    <w:rsid w:val="005209F0"/>
    <w:rsid w:val="005230C1"/>
    <w:rsid w:val="0053304D"/>
    <w:rsid w:val="005459A6"/>
    <w:rsid w:val="005504C1"/>
    <w:rsid w:val="005A0263"/>
    <w:rsid w:val="00674169"/>
    <w:rsid w:val="006778EB"/>
    <w:rsid w:val="0072428D"/>
    <w:rsid w:val="00796C84"/>
    <w:rsid w:val="007E2940"/>
    <w:rsid w:val="0082635A"/>
    <w:rsid w:val="00827D34"/>
    <w:rsid w:val="009347B6"/>
    <w:rsid w:val="00A01A18"/>
    <w:rsid w:val="00AB48BE"/>
    <w:rsid w:val="00AF59DA"/>
    <w:rsid w:val="00B1488E"/>
    <w:rsid w:val="00B21F34"/>
    <w:rsid w:val="00B4611E"/>
    <w:rsid w:val="00D42BEF"/>
    <w:rsid w:val="00E25D55"/>
    <w:rsid w:val="00E75DB9"/>
    <w:rsid w:val="00E900F1"/>
    <w:rsid w:val="00EB3FE4"/>
    <w:rsid w:val="00EB7CF4"/>
    <w:rsid w:val="00F6033A"/>
    <w:rsid w:val="00F81FF5"/>
    <w:rsid w:val="00FA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B94C88"/>
  <w14:defaultImageDpi w14:val="32767"/>
  <w15:chartTrackingRefBased/>
  <w15:docId w15:val="{A494F2E8-ED1C-E949-9AD8-F21C86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4</cp:revision>
  <cp:lastPrinted>2018-02-04T21:03:00Z</cp:lastPrinted>
  <dcterms:created xsi:type="dcterms:W3CDTF">2018-02-04T21:05:00Z</dcterms:created>
  <dcterms:modified xsi:type="dcterms:W3CDTF">2018-02-04T21:11:00Z</dcterms:modified>
</cp:coreProperties>
</file>